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spacing w:lineRule="exact" w:line="283"/>
        <w:rPr/>
      </w:pPr>
      <w:r>
        <w:rPr/>
        <w:t>Alla</w:t>
      </w:r>
      <w:r>
        <w:rPr/>
        <w:t xml:space="preserve"> European Medicines Agency</w:t>
      </w:r>
    </w:p>
    <w:p>
      <w:pPr>
        <w:pStyle w:val="Normal"/>
        <w:spacing w:lineRule="exact" w:line="283"/>
        <w:rPr/>
      </w:pPr>
      <w:r>
        <w:rPr/>
        <w:t>Amsterdam, the Netherlands</w:t>
      </w:r>
    </w:p>
    <w:p>
      <w:pPr>
        <w:pStyle w:val="Normal"/>
        <w:spacing w:lineRule="exact" w:line="283"/>
        <w:rPr/>
      </w:pPr>
      <w:r>
        <w:rPr/>
        <w:t xml:space="preserve">Oggetto: </w:t>
      </w:r>
      <w:r>
        <w:rPr>
          <w:i/>
          <w:iCs/>
        </w:rPr>
        <w:t>Belzutifan</w:t>
      </w:r>
      <w:r>
        <w:rPr/>
        <w:t xml:space="preserve"> </w:t>
      </w:r>
      <w:r>
        <w:rPr/>
        <w:t>per Malattia di V</w:t>
      </w:r>
      <w:r>
        <w:rPr/>
        <w:t>on Hippel-Lindau</w:t>
      </w:r>
    </w:p>
    <w:p>
      <w:pPr>
        <w:pStyle w:val="Normal"/>
        <w:spacing w:lineRule="exact" w:line="283"/>
        <w:rPr/>
      </w:pPr>
      <w:r>
        <w:rPr/>
      </w:r>
    </w:p>
    <w:p>
      <w:pPr>
        <w:pStyle w:val="Normal"/>
        <w:spacing w:lineRule="exact" w:line="283"/>
        <w:rPr>
          <w:i/>
          <w:i/>
          <w:iCs/>
        </w:rPr>
      </w:pPr>
      <w:r>
        <w:rPr/>
        <w:tab/>
        <w:tab/>
        <w:tab/>
        <w:tab/>
        <w:tab/>
        <w:tab/>
        <w:tab/>
        <w:tab/>
        <w:tab/>
        <w:tab/>
        <w:tab/>
      </w:r>
      <w:r>
        <w:rPr>
          <w:i/>
          <w:iCs/>
        </w:rPr>
        <w:t>[</w:t>
      </w:r>
      <w:r>
        <w:rPr>
          <w:b/>
          <w:bCs/>
          <w:i/>
          <w:iCs/>
        </w:rPr>
        <w:t>Da</w:t>
      </w:r>
      <w:r>
        <w:rPr>
          <w:b/>
          <w:bCs/>
          <w:i/>
          <w:iCs/>
        </w:rPr>
        <w:t>ta</w:t>
      </w:r>
      <w:r>
        <w:rPr>
          <w:i/>
          <w:iCs/>
        </w:rPr>
        <w:t>]</w:t>
      </w:r>
    </w:p>
    <w:p>
      <w:pPr>
        <w:pStyle w:val="Normal"/>
        <w:spacing w:lineRule="exact" w:line="283"/>
        <w:rPr/>
      </w:pPr>
      <w:r>
        <w:rPr/>
      </w:r>
    </w:p>
    <w:p>
      <w:pPr>
        <w:pStyle w:val="Normal"/>
        <w:spacing w:lineRule="exact" w:line="283"/>
        <w:rPr/>
      </w:pPr>
      <w:r>
        <w:rPr/>
        <w:t>Gentilissimi,</w:t>
      </w:r>
    </w:p>
    <w:p>
      <w:pPr>
        <w:pStyle w:val="Testopreformattato"/>
        <w:spacing w:lineRule="exact" w:line="283"/>
        <w:jc w:val="both"/>
        <w:rPr/>
      </w:pPr>
      <w:bookmarkStart w:id="0" w:name="tw-target-text2"/>
      <w:bookmarkEnd w:id="0"/>
      <w:r>
        <w:rPr>
          <w:rFonts w:ascii="Calibri" w:hAnsi="Calibri"/>
          <w:sz w:val="22"/>
          <w:szCs w:val="22"/>
          <w:lang w:val="it-IT"/>
        </w:rPr>
        <w:t xml:space="preserve">La mia famiglia </w:t>
      </w:r>
      <w:r>
        <w:rPr>
          <w:rFonts w:ascii="Calibri" w:hAnsi="Calibri"/>
          <w:b/>
          <w:bCs/>
          <w:i/>
          <w:iCs/>
          <w:sz w:val="22"/>
          <w:szCs w:val="22"/>
          <w:lang w:val="it-IT"/>
        </w:rPr>
        <w:t>[modificare a seconda dei casi]</w:t>
      </w:r>
      <w:r>
        <w:rPr>
          <w:rFonts w:ascii="Calibri" w:hAnsi="Calibri"/>
          <w:sz w:val="22"/>
          <w:szCs w:val="22"/>
          <w:lang w:val="it-IT"/>
        </w:rPr>
        <w:t xml:space="preserve"> è affetta da una rara sindrome di cancro ereditario, chiamata </w:t>
      </w:r>
      <w:r>
        <w:rPr>
          <w:rFonts w:ascii="Calibri" w:hAnsi="Calibri"/>
          <w:sz w:val="22"/>
          <w:szCs w:val="22"/>
          <w:u w:val="single"/>
          <w:lang w:val="it-IT"/>
        </w:rPr>
        <w:t>Malattia di Von Hippel-Lindau (VHL)</w:t>
      </w:r>
      <w:r>
        <w:rPr>
          <w:rFonts w:ascii="Calibri" w:hAnsi="Calibri"/>
          <w:sz w:val="22"/>
          <w:szCs w:val="22"/>
          <w:lang w:val="it-IT"/>
        </w:rPr>
        <w:t xml:space="preserve">. È una malattia genetica, a causa della quale varie forme di tumore possono crescere nel cervello, nella colonna vertebrale, negli occhi, nelle orecchie, nei reni, nelle ghiandole surrenali, nel pancreas e nell'epididimo/legamenti larghi. I bambini dall'età di 1 anno possono iniziare a sviluppare questi tumori e </w:t>
      </w:r>
      <w:r>
        <w:rPr>
          <w:rFonts w:ascii="Calibri" w:hAnsi="Calibri"/>
          <w:sz w:val="22"/>
          <w:szCs w:val="22"/>
          <w:u w:val="single"/>
          <w:lang w:val="it-IT"/>
        </w:rPr>
        <w:t>attualmente non esiste una cura</w:t>
      </w:r>
      <w:r>
        <w:rPr>
          <w:rFonts w:ascii="Calibri" w:hAnsi="Calibri"/>
          <w:sz w:val="22"/>
          <w:szCs w:val="22"/>
          <w:lang w:val="it-IT"/>
        </w:rPr>
        <w:t>. Attualmente, i pazienti con VHL vengono sottoposti a screening mediante TC e risonanza magnetica e altri esami, dalla prima infanzia fino alla fine della loro vita, per coprire tempestiva la comparsa di un nuovo tumore, che spesso può essere trattato chirurgicamente prima che il tumore si diffonda. Tuttavia, anche se con interventi chirurgici tempestivi si può evitare la diffusione metastatica del cancro, possono comunque verificarsi seri problemi, a seguito dei tumori e dei ripetuti interventi chirurgici. Tra questi: cecità, perdita cognitiva e di funzione da molteplici interventi chirurgici cerebrali, paralisi o mobilità limitata, insufficienza renale che richiede dialisi o trapianto, diabete di tipo 1, sordità, insufficienza surrenalica e pancreatica che richiedono farmaci per tutta la vita, infertilità.</w:t>
      </w:r>
    </w:p>
    <w:p>
      <w:pPr>
        <w:pStyle w:val="Testopreformattato"/>
        <w:spacing w:lineRule="exact" w:line="283"/>
        <w:jc w:val="both"/>
        <w:rPr>
          <w:rFonts w:ascii="Calibri" w:hAnsi="Calibri"/>
          <w:sz w:val="22"/>
          <w:szCs w:val="22"/>
          <w:lang w:val="it-IT"/>
        </w:rPr>
      </w:pPr>
      <w:r>
        <w:rPr/>
      </w:r>
    </w:p>
    <w:p>
      <w:pPr>
        <w:pStyle w:val="Testopreformattato"/>
        <w:spacing w:lineRule="exact" w:line="283"/>
        <w:jc w:val="both"/>
        <w:rPr>
          <w:rFonts w:ascii="Calibri" w:hAnsi="Calibri"/>
          <w:sz w:val="22"/>
          <w:szCs w:val="22"/>
        </w:rPr>
      </w:pPr>
      <w:r>
        <w:rPr>
          <w:rFonts w:ascii="Calibri" w:hAnsi="Calibri"/>
          <w:b/>
          <w:bCs/>
          <w:i/>
          <w:iCs/>
          <w:sz w:val="22"/>
          <w:szCs w:val="22"/>
        </w:rPr>
        <w:t>[Aggiungere eventuali altre considerazoni personali]</w:t>
      </w:r>
    </w:p>
    <w:p>
      <w:pPr>
        <w:pStyle w:val="Normal"/>
        <w:spacing w:lineRule="exact" w:line="283"/>
        <w:rPr/>
      </w:pPr>
      <w:r>
        <w:rPr/>
      </w:r>
    </w:p>
    <w:p>
      <w:pPr>
        <w:pStyle w:val="Testopreformattato"/>
        <w:pBdr/>
        <w:bidi w:val="0"/>
        <w:spacing w:lineRule="exact" w:line="283" w:before="0" w:after="0"/>
        <w:ind w:left="0" w:right="0" w:hanging="0"/>
        <w:jc w:val="both"/>
        <w:rPr>
          <w:rFonts w:ascii="Calibri" w:hAnsi="Calibri" w:eastAsia="Liberation Mono" w:cs="Liberation Mono"/>
          <w:b w:val="false"/>
          <w:i w:val="false"/>
          <w:caps w:val="false"/>
          <w:smallCaps w:val="false"/>
          <w:color w:val="202124"/>
          <w:spacing w:val="0"/>
          <w:sz w:val="22"/>
          <w:szCs w:val="22"/>
          <w:lang w:val="it-IT"/>
        </w:rPr>
      </w:pPr>
      <w:bookmarkStart w:id="1" w:name="tw-target-text3"/>
      <w:bookmarkEnd w:id="1"/>
      <w:r>
        <w:rPr>
          <w:rFonts w:eastAsia="Liberation Mono" w:cs="Liberation Mono" w:ascii="Calibri" w:hAnsi="Calibri"/>
          <w:b w:val="false"/>
          <w:i w:val="false"/>
          <w:caps w:val="false"/>
          <w:smallCaps w:val="false"/>
          <w:color w:val="202124"/>
          <w:spacing w:val="0"/>
          <w:sz w:val="22"/>
          <w:szCs w:val="22"/>
          <w:lang w:val="it-IT"/>
        </w:rPr>
        <w:t>Oggi e</w:t>
      </w:r>
      <w:r>
        <w:rPr>
          <w:rFonts w:eastAsia="Liberation Mono" w:cs="Liberation Mono" w:ascii="Calibri" w:hAnsi="Calibri"/>
          <w:b w:val="false"/>
          <w:i w:val="false"/>
          <w:caps w:val="false"/>
          <w:smallCaps w:val="false"/>
          <w:color w:val="202124"/>
          <w:spacing w:val="0"/>
          <w:sz w:val="22"/>
          <w:szCs w:val="22"/>
          <w:lang w:val="it-IT"/>
        </w:rPr>
        <w:t xml:space="preserve">siste un nuovo medicinale per </w:t>
      </w:r>
      <w:r>
        <w:rPr>
          <w:rFonts w:eastAsia="Liberation Mono" w:cs="Liberation Mono" w:ascii="Calibri" w:hAnsi="Calibri"/>
          <w:b w:val="false"/>
          <w:i w:val="false"/>
          <w:caps w:val="false"/>
          <w:smallCaps w:val="false"/>
          <w:color w:val="202124"/>
          <w:spacing w:val="0"/>
          <w:sz w:val="22"/>
          <w:szCs w:val="22"/>
          <w:lang w:val="it-IT"/>
        </w:rPr>
        <w:t xml:space="preserve">la </w:t>
      </w:r>
      <w:r>
        <w:rPr>
          <w:rFonts w:eastAsia="Liberation Mono" w:cs="Liberation Mono" w:ascii="Calibri" w:hAnsi="Calibri"/>
          <w:b w:val="false"/>
          <w:i w:val="false"/>
          <w:caps w:val="false"/>
          <w:smallCaps w:val="false"/>
          <w:color w:val="202124"/>
          <w:spacing w:val="0"/>
          <w:sz w:val="22"/>
          <w:szCs w:val="22"/>
          <w:lang w:val="it-IT"/>
        </w:rPr>
        <w:t xml:space="preserve">VHL, chiamato </w:t>
      </w:r>
      <w:r>
        <w:rPr>
          <w:rFonts w:eastAsia="Liberation Mono" w:cs="Liberation Mono" w:ascii="Calibri" w:hAnsi="Calibri"/>
          <w:b/>
          <w:bCs/>
          <w:i/>
          <w:iCs/>
          <w:caps w:val="false"/>
          <w:smallCaps w:val="false"/>
          <w:color w:val="202124"/>
          <w:spacing w:val="0"/>
          <w:sz w:val="22"/>
          <w:szCs w:val="22"/>
          <w:lang w:val="it-IT"/>
        </w:rPr>
        <w:t>B</w:t>
      </w:r>
      <w:r>
        <w:rPr>
          <w:rFonts w:eastAsia="Liberation Mono" w:cs="Liberation Mono" w:ascii="Calibri" w:hAnsi="Calibri"/>
          <w:b/>
          <w:bCs/>
          <w:i/>
          <w:iCs/>
          <w:caps w:val="false"/>
          <w:smallCaps w:val="false"/>
          <w:color w:val="202124"/>
          <w:spacing w:val="0"/>
          <w:sz w:val="22"/>
          <w:szCs w:val="22"/>
          <w:lang w:val="it-IT"/>
        </w:rPr>
        <w:t>elzutifan</w:t>
      </w:r>
      <w:r>
        <w:rPr>
          <w:rFonts w:eastAsia="Liberation Mono" w:cs="Liberation Mono" w:ascii="Calibri" w:hAnsi="Calibri"/>
          <w:b w:val="false"/>
          <w:i w:val="false"/>
          <w:caps w:val="false"/>
          <w:smallCaps w:val="false"/>
          <w:color w:val="202124"/>
          <w:spacing w:val="0"/>
          <w:sz w:val="22"/>
          <w:szCs w:val="22"/>
          <w:lang w:val="it-IT"/>
        </w:rPr>
        <w:t xml:space="preserve"> (nome commerciale </w:t>
      </w:r>
      <w:r>
        <w:rPr>
          <w:rFonts w:eastAsia="Liberation Mono" w:cs="Liberation Mono" w:ascii="Calibri" w:hAnsi="Calibri"/>
          <w:b w:val="false"/>
          <w:i/>
          <w:iCs/>
          <w:caps w:val="false"/>
          <w:smallCaps w:val="false"/>
          <w:color w:val="202124"/>
          <w:spacing w:val="0"/>
          <w:sz w:val="22"/>
          <w:szCs w:val="22"/>
          <w:lang w:val="it-IT"/>
        </w:rPr>
        <w:t>Welireg</w:t>
      </w:r>
      <w:r>
        <w:rPr>
          <w:rFonts w:eastAsia="Liberation Mono" w:cs="Liberation Mono" w:ascii="Calibri" w:hAnsi="Calibri"/>
          <w:b w:val="false"/>
          <w:i w:val="false"/>
          <w:caps w:val="false"/>
          <w:smallCaps w:val="false"/>
          <w:color w:val="202124"/>
          <w:spacing w:val="0"/>
          <w:sz w:val="22"/>
          <w:szCs w:val="22"/>
          <w:lang w:val="it-IT"/>
        </w:rPr>
        <w:t>).</w:t>
      </w:r>
    </w:p>
    <w:p>
      <w:pPr>
        <w:pStyle w:val="Testopreformattato"/>
        <w:pBdr/>
        <w:bidi w:val="0"/>
        <w:spacing w:lineRule="exact" w:line="283" w:before="0" w:after="0"/>
        <w:ind w:left="0" w:right="0" w:hanging="0"/>
        <w:jc w:val="both"/>
        <w:rPr>
          <w:rFonts w:ascii="Calibri" w:hAnsi="Calibri" w:eastAsia="Liberation Mono" w:cs="Liberation Mono"/>
          <w:b w:val="false"/>
          <w:i w:val="false"/>
          <w:caps w:val="false"/>
          <w:smallCaps w:val="false"/>
          <w:color w:val="202124"/>
          <w:spacing w:val="0"/>
          <w:sz w:val="22"/>
          <w:szCs w:val="22"/>
          <w:lang w:val="it-IT"/>
        </w:rPr>
      </w:pPr>
      <w:r>
        <w:rPr>
          <w:rFonts w:eastAsia="Liberation Mono" w:cs="Liberation Mono" w:ascii="Calibri" w:hAnsi="Calibri"/>
          <w:b w:val="false"/>
          <w:i w:val="false"/>
          <w:caps w:val="false"/>
          <w:smallCaps w:val="false"/>
          <w:color w:val="202124"/>
          <w:spacing w:val="0"/>
          <w:sz w:val="22"/>
          <w:szCs w:val="22"/>
          <w:lang w:val="it-IT"/>
        </w:rPr>
        <w:t xml:space="preserve">Il </w:t>
      </w:r>
      <w:r>
        <w:rPr>
          <w:rFonts w:eastAsia="Liberation Mono" w:cs="Liberation Mono" w:ascii="Calibri" w:hAnsi="Calibri"/>
          <w:b w:val="false"/>
          <w:i/>
          <w:iCs/>
          <w:caps w:val="false"/>
          <w:smallCaps w:val="false"/>
          <w:color w:val="202124"/>
          <w:spacing w:val="0"/>
          <w:sz w:val="22"/>
          <w:szCs w:val="22"/>
          <w:lang w:val="it-IT"/>
        </w:rPr>
        <w:t>Belzutifan</w:t>
      </w:r>
      <w:r>
        <w:rPr>
          <w:rFonts w:eastAsia="Liberation Mono" w:cs="Liberation Mono" w:ascii="Calibri" w:hAnsi="Calibri"/>
          <w:b w:val="false"/>
          <w:i w:val="false"/>
          <w:caps w:val="false"/>
          <w:smallCaps w:val="false"/>
          <w:color w:val="202124"/>
          <w:spacing w:val="0"/>
          <w:sz w:val="22"/>
          <w:szCs w:val="22"/>
          <w:lang w:val="it-IT"/>
        </w:rPr>
        <w:t xml:space="preserve"> è stato </w:t>
      </w:r>
      <w:r>
        <w:rPr>
          <w:rFonts w:eastAsia="Liberation Mono" w:cs="Liberation Mono" w:ascii="Calibri" w:hAnsi="Calibri"/>
          <w:b w:val="false"/>
          <w:i w:val="false"/>
          <w:caps w:val="false"/>
          <w:smallCaps w:val="false"/>
          <w:color w:val="202124"/>
          <w:spacing w:val="0"/>
          <w:sz w:val="22"/>
          <w:szCs w:val="22"/>
          <w:lang w:val="it-IT"/>
        </w:rPr>
        <w:t xml:space="preserve">approvato dalla FDA negli USA </w:t>
      </w:r>
      <w:r>
        <w:rPr>
          <w:rFonts w:eastAsia="Liberation Mono" w:cs="Liberation Mono" w:ascii="Calibri" w:hAnsi="Calibri"/>
          <w:b w:val="false"/>
          <w:i w:val="false"/>
          <w:caps w:val="false"/>
          <w:smallCaps w:val="false"/>
          <w:color w:val="202124"/>
          <w:spacing w:val="0"/>
          <w:sz w:val="22"/>
          <w:szCs w:val="22"/>
          <w:lang w:val="it-IT"/>
        </w:rPr>
        <w:t>nell’</w:t>
      </w:r>
      <w:r>
        <w:rPr>
          <w:rFonts w:eastAsia="Liberation Mono" w:cs="Liberation Mono" w:ascii="Calibri" w:hAnsi="Calibri"/>
          <w:b w:val="false"/>
          <w:i w:val="false"/>
          <w:caps w:val="false"/>
          <w:smallCaps w:val="false"/>
          <w:color w:val="202124"/>
          <w:spacing w:val="0"/>
          <w:sz w:val="22"/>
          <w:szCs w:val="22"/>
          <w:lang w:val="it-IT"/>
        </w:rPr>
        <w:t>agosto 2021) e</w:t>
      </w:r>
      <w:r>
        <w:rPr>
          <w:rFonts w:eastAsia="Liberation Mono" w:cs="Liberation Mono" w:ascii="Calibri" w:hAnsi="Calibri"/>
          <w:b w:val="false"/>
          <w:i w:val="false"/>
          <w:caps w:val="false"/>
          <w:smallCaps w:val="false"/>
          <w:color w:val="202124"/>
          <w:spacing w:val="0"/>
          <w:sz w:val="22"/>
          <w:szCs w:val="22"/>
          <w:lang w:val="it-IT"/>
        </w:rPr>
        <w:t>d è</w:t>
      </w:r>
      <w:r>
        <w:rPr>
          <w:rFonts w:eastAsia="Liberation Mono" w:cs="Liberation Mono" w:ascii="Calibri" w:hAnsi="Calibri"/>
          <w:b w:val="false"/>
          <w:i w:val="false"/>
          <w:caps w:val="false"/>
          <w:smallCaps w:val="false"/>
          <w:color w:val="202124"/>
          <w:spacing w:val="0"/>
          <w:sz w:val="22"/>
          <w:szCs w:val="22"/>
          <w:lang w:val="it-IT"/>
        </w:rPr>
        <w:t xml:space="preserve"> in </w:t>
      </w:r>
      <w:r>
        <w:rPr>
          <w:rFonts w:eastAsia="Liberation Mono" w:cs="Liberation Mono" w:ascii="Calibri" w:hAnsi="Calibri"/>
          <w:b w:val="false"/>
          <w:i w:val="false"/>
          <w:caps w:val="false"/>
          <w:smallCaps w:val="false"/>
          <w:color w:val="202124"/>
          <w:spacing w:val="0"/>
          <w:sz w:val="22"/>
          <w:szCs w:val="22"/>
          <w:lang w:val="it-IT"/>
        </w:rPr>
        <w:t xml:space="preserve">via </w:t>
      </w:r>
      <w:r>
        <w:rPr>
          <w:rFonts w:eastAsia="Liberation Mono" w:cs="Liberation Mono" w:ascii="Calibri" w:hAnsi="Calibri"/>
          <w:b w:val="false"/>
          <w:i w:val="false"/>
          <w:caps w:val="false"/>
          <w:smallCaps w:val="false"/>
          <w:color w:val="202124"/>
          <w:spacing w:val="0"/>
          <w:sz w:val="22"/>
          <w:szCs w:val="22"/>
          <w:lang w:val="it-IT"/>
        </w:rPr>
        <w:t xml:space="preserve"> approvazione finale da parte del NICE nel Regno Unito (https://www.nice.org.uk/guidance/indevelopment/gid-ta10817). </w:t>
      </w:r>
      <w:r>
        <w:rPr>
          <w:rFonts w:eastAsia="Liberation Mono" w:cs="Liberation Mono" w:ascii="Calibri" w:hAnsi="Calibri"/>
          <w:b w:val="false"/>
          <w:i w:val="false"/>
          <w:caps w:val="false"/>
          <w:smallCaps w:val="false"/>
          <w:color w:val="202124"/>
          <w:spacing w:val="0"/>
          <w:sz w:val="22"/>
          <w:szCs w:val="22"/>
          <w:lang w:val="it-IT"/>
        </w:rPr>
        <w:t xml:space="preserve">Il </w:t>
      </w:r>
      <w:r>
        <w:rPr>
          <w:rFonts w:eastAsia="Liberation Mono" w:cs="Liberation Mono" w:ascii="Calibri" w:hAnsi="Calibri"/>
          <w:b w:val="false"/>
          <w:i/>
          <w:iCs/>
          <w:caps w:val="false"/>
          <w:smallCaps w:val="false"/>
          <w:color w:val="202124"/>
          <w:spacing w:val="0"/>
          <w:sz w:val="22"/>
          <w:szCs w:val="22"/>
          <w:lang w:val="it-IT"/>
        </w:rPr>
        <w:t>Belzutifan</w:t>
      </w:r>
      <w:r>
        <w:rPr>
          <w:rFonts w:eastAsia="Liberation Mono" w:cs="Liberation Mono" w:ascii="Calibri" w:hAnsi="Calibri"/>
          <w:b w:val="false"/>
          <w:i w:val="false"/>
          <w:caps w:val="false"/>
          <w:smallCaps w:val="false"/>
          <w:color w:val="202124"/>
          <w:spacing w:val="0"/>
          <w:sz w:val="22"/>
          <w:szCs w:val="22"/>
          <w:lang w:val="it-IT"/>
        </w:rPr>
        <w:t xml:space="preserve"> ha cambiato la vita delle persone affette da VHL, alterando in modo specifico la biologia delle cellule prive della proteina VHL </w:t>
      </w:r>
      <w:r>
        <w:rPr>
          <w:rFonts w:eastAsia="Liberation Mono" w:cs="Liberation Mono" w:ascii="Calibri" w:hAnsi="Calibri"/>
          <w:b w:val="false"/>
          <w:i/>
          <w:iCs/>
          <w:caps w:val="false"/>
          <w:smallCaps w:val="false"/>
          <w:color w:val="202124"/>
          <w:spacing w:val="0"/>
          <w:sz w:val="22"/>
          <w:szCs w:val="22"/>
          <w:lang w:val="it-IT"/>
        </w:rPr>
        <w:t>[1]</w:t>
      </w:r>
      <w:r>
        <w:rPr>
          <w:rFonts w:eastAsia="Liberation Mono" w:cs="Liberation Mono" w:ascii="Calibri" w:hAnsi="Calibri"/>
          <w:b w:val="false"/>
          <w:i w:val="false"/>
          <w:caps w:val="false"/>
          <w:smallCaps w:val="false"/>
          <w:color w:val="202124"/>
          <w:spacing w:val="0"/>
          <w:sz w:val="22"/>
          <w:szCs w:val="22"/>
          <w:lang w:val="it-IT"/>
        </w:rPr>
        <w:t>. È un</w:t>
      </w:r>
      <w:r>
        <w:rPr>
          <w:rFonts w:eastAsia="Liberation Mono" w:cs="Liberation Mono" w:ascii="Calibri" w:hAnsi="Calibri"/>
          <w:b w:val="false"/>
          <w:i w:val="false"/>
          <w:caps w:val="false"/>
          <w:smallCaps w:val="false"/>
          <w:color w:val="202124"/>
          <w:spacing w:val="0"/>
          <w:sz w:val="22"/>
          <w:szCs w:val="22"/>
          <w:lang w:val="it-IT"/>
        </w:rPr>
        <w:t>a compressa</w:t>
      </w:r>
      <w:r>
        <w:rPr>
          <w:rFonts w:eastAsia="Liberation Mono" w:cs="Liberation Mono" w:ascii="Calibri" w:hAnsi="Calibri"/>
          <w:b w:val="false"/>
          <w:i w:val="false"/>
          <w:caps w:val="false"/>
          <w:smallCaps w:val="false"/>
          <w:color w:val="202124"/>
          <w:spacing w:val="0"/>
          <w:sz w:val="22"/>
          <w:szCs w:val="22"/>
          <w:lang w:val="it-IT"/>
        </w:rPr>
        <w:t xml:space="preserve"> che può essere assunt</w:t>
      </w:r>
      <w:r>
        <w:rPr>
          <w:rFonts w:eastAsia="Liberation Mono" w:cs="Liberation Mono" w:ascii="Calibri" w:hAnsi="Calibri"/>
          <w:b w:val="false"/>
          <w:i w:val="false"/>
          <w:caps w:val="false"/>
          <w:smallCaps w:val="false"/>
          <w:color w:val="202124"/>
          <w:spacing w:val="0"/>
          <w:sz w:val="22"/>
          <w:szCs w:val="22"/>
          <w:lang w:val="it-IT"/>
        </w:rPr>
        <w:t>a</w:t>
      </w:r>
      <w:r>
        <w:rPr>
          <w:rFonts w:eastAsia="Liberation Mono" w:cs="Liberation Mono" w:ascii="Calibri" w:hAnsi="Calibri"/>
          <w:b w:val="false"/>
          <w:i w:val="false"/>
          <w:caps w:val="false"/>
          <w:smallCaps w:val="false"/>
          <w:color w:val="202124"/>
          <w:spacing w:val="0"/>
          <w:sz w:val="22"/>
          <w:szCs w:val="22"/>
          <w:lang w:val="it-IT"/>
        </w:rPr>
        <w:t xml:space="preserve"> a casa e ha solo effetti collaterali limitati. L'approvazione si è basata su uno studio clinico di fase 2 che ha seguito 61 pazienti VHL e ha registrato un chiaro beneficio clinico per quei pazienti in tutti i tipi di tumore, inclusa una drastica riduzione del numero di interventi chirurgici necessari </w:t>
      </w:r>
      <w:r>
        <w:rPr>
          <w:rFonts w:eastAsia="Liberation Mono" w:cs="Liberation Mono" w:ascii="Calibri" w:hAnsi="Calibri"/>
          <w:b w:val="false"/>
          <w:i/>
          <w:iCs/>
          <w:caps w:val="false"/>
          <w:smallCaps w:val="false"/>
          <w:color w:val="202124"/>
          <w:spacing w:val="0"/>
          <w:sz w:val="22"/>
          <w:szCs w:val="22"/>
          <w:lang w:val="it-IT"/>
        </w:rPr>
        <w:t>[2]</w:t>
      </w:r>
      <w:r>
        <w:rPr>
          <w:rFonts w:eastAsia="Liberation Mono" w:cs="Liberation Mono" w:ascii="Calibri" w:hAnsi="Calibri"/>
          <w:b w:val="false"/>
          <w:i w:val="false"/>
          <w:caps w:val="false"/>
          <w:smallCaps w:val="false"/>
          <w:color w:val="202124"/>
          <w:spacing w:val="0"/>
          <w:sz w:val="22"/>
          <w:szCs w:val="22"/>
          <w:lang w:val="it-IT"/>
        </w:rPr>
        <w:t xml:space="preserve">. Un recente aggiornamento con quasi 2,5 anni di follow-up di quegli stessi 61 pazienti con VHL ha riferito che il </w:t>
      </w:r>
      <w:r>
        <w:rPr>
          <w:rFonts w:eastAsia="Liberation Mono" w:cs="Liberation Mono" w:ascii="Calibri" w:hAnsi="Calibri"/>
          <w:b w:val="false"/>
          <w:i/>
          <w:iCs/>
          <w:caps w:val="false"/>
          <w:smallCaps w:val="false"/>
          <w:color w:val="202124"/>
          <w:spacing w:val="0"/>
          <w:sz w:val="22"/>
          <w:szCs w:val="22"/>
          <w:lang w:val="it-IT"/>
        </w:rPr>
        <w:t>B</w:t>
      </w:r>
      <w:r>
        <w:rPr>
          <w:rFonts w:eastAsia="Liberation Mono" w:cs="Liberation Mono" w:ascii="Calibri" w:hAnsi="Calibri"/>
          <w:b w:val="false"/>
          <w:i/>
          <w:iCs/>
          <w:caps w:val="false"/>
          <w:smallCaps w:val="false"/>
          <w:color w:val="202124"/>
          <w:spacing w:val="0"/>
          <w:sz w:val="22"/>
          <w:szCs w:val="22"/>
          <w:lang w:val="it-IT"/>
        </w:rPr>
        <w:t>elzutifan</w:t>
      </w:r>
      <w:r>
        <w:rPr>
          <w:rFonts w:eastAsia="Liberation Mono" w:cs="Liberation Mono" w:ascii="Calibri" w:hAnsi="Calibri"/>
          <w:b w:val="false"/>
          <w:i w:val="false"/>
          <w:caps w:val="false"/>
          <w:smallCaps w:val="false"/>
          <w:color w:val="202124"/>
          <w:spacing w:val="0"/>
          <w:sz w:val="22"/>
          <w:szCs w:val="22"/>
          <w:lang w:val="it-IT"/>
        </w:rPr>
        <w:t xml:space="preserve"> ha continuato a mostrare attività antitumorale nelle neoplasie correlate alla malattia VHL, inclusi tumori/cancri del rene, del pancreas, del cervello, della colonna vertebrale e degli occhi, senza nuovi problemi di sicurezza </w:t>
      </w:r>
      <w:r>
        <w:rPr>
          <w:rFonts w:eastAsia="Liberation Mono" w:cs="Liberation Mono" w:ascii="Calibri" w:hAnsi="Calibri"/>
          <w:b w:val="false"/>
          <w:i/>
          <w:iCs/>
          <w:caps w:val="false"/>
          <w:smallCaps w:val="false"/>
          <w:color w:val="202124"/>
          <w:spacing w:val="0"/>
          <w:sz w:val="22"/>
          <w:szCs w:val="22"/>
          <w:lang w:val="it-IT"/>
        </w:rPr>
        <w:t>[3]</w:t>
      </w:r>
      <w:r>
        <w:rPr>
          <w:rFonts w:eastAsia="Liberation Mono" w:cs="Liberation Mono" w:ascii="Calibri" w:hAnsi="Calibri"/>
          <w:b w:val="false"/>
          <w:i w:val="false"/>
          <w:caps w:val="false"/>
          <w:smallCaps w:val="false"/>
          <w:color w:val="202124"/>
          <w:spacing w:val="0"/>
          <w:sz w:val="22"/>
          <w:szCs w:val="22"/>
          <w:lang w:val="it-IT"/>
        </w:rPr>
        <w:t xml:space="preserve">. I ricercatori di quello studio di follow-up raccomandano che i loro </w:t>
      </w:r>
      <w:r>
        <w:rPr>
          <w:rFonts w:eastAsia="Liberation Mono" w:cs="Liberation Mono" w:ascii="Calibri" w:hAnsi="Calibri"/>
          <w:b w:val="false"/>
          <w:i/>
          <w:iCs/>
          <w:caps w:val="false"/>
          <w:smallCaps w:val="false"/>
          <w:color w:val="202124"/>
          <w:spacing w:val="0"/>
          <w:sz w:val="22"/>
          <w:szCs w:val="22"/>
          <w:lang w:val="it-IT"/>
        </w:rPr>
        <w:t xml:space="preserve">"risultati supportano </w:t>
      </w:r>
      <w:r>
        <w:rPr>
          <w:rFonts w:eastAsia="Liberation Mono" w:cs="Liberation Mono" w:ascii="Calibri" w:hAnsi="Calibri"/>
          <w:b/>
          <w:bCs/>
          <w:i/>
          <w:iCs/>
          <w:caps w:val="false"/>
          <w:smallCaps w:val="false"/>
          <w:color w:val="202124"/>
          <w:spacing w:val="0"/>
          <w:sz w:val="22"/>
          <w:szCs w:val="22"/>
          <w:lang w:val="it-IT"/>
        </w:rPr>
        <w:t xml:space="preserve">l'uso del </w:t>
      </w:r>
      <w:r>
        <w:rPr>
          <w:rFonts w:eastAsia="Liberation Mono" w:cs="Liberation Mono" w:ascii="Calibri" w:hAnsi="Calibri"/>
          <w:b/>
          <w:bCs/>
          <w:i/>
          <w:iCs/>
          <w:caps w:val="false"/>
          <w:smallCaps w:val="false"/>
          <w:color w:val="202124"/>
          <w:spacing w:val="0"/>
          <w:sz w:val="22"/>
          <w:szCs w:val="22"/>
          <w:lang w:val="it-IT"/>
        </w:rPr>
        <w:t>B</w:t>
      </w:r>
      <w:r>
        <w:rPr>
          <w:rFonts w:eastAsia="Liberation Mono" w:cs="Liberation Mono" w:ascii="Calibri" w:hAnsi="Calibri"/>
          <w:b/>
          <w:bCs/>
          <w:i/>
          <w:iCs/>
          <w:caps w:val="false"/>
          <w:smallCaps w:val="false"/>
          <w:color w:val="202124"/>
          <w:spacing w:val="0"/>
          <w:sz w:val="22"/>
          <w:szCs w:val="22"/>
          <w:lang w:val="it-IT"/>
        </w:rPr>
        <w:t>elzutifan come trattamento sistemico per la malattia VHL"</w:t>
      </w:r>
      <w:r>
        <w:rPr>
          <w:rFonts w:eastAsia="Liberation Mono" w:cs="Liberation Mono" w:ascii="Calibri" w:hAnsi="Calibri"/>
          <w:b w:val="false"/>
          <w:i w:val="false"/>
          <w:caps w:val="false"/>
          <w:smallCaps w:val="false"/>
          <w:color w:val="202124"/>
          <w:spacing w:val="0"/>
          <w:sz w:val="22"/>
          <w:szCs w:val="22"/>
          <w:lang w:val="it-IT"/>
        </w:rPr>
        <w:t>.</w:t>
      </w:r>
    </w:p>
    <w:p>
      <w:pPr>
        <w:pStyle w:val="Normal"/>
        <w:spacing w:lineRule="exact" w:line="283"/>
        <w:rPr>
          <w:rFonts w:ascii="Calibri" w:hAnsi="Calibri" w:eastAsia="Liberation Mono" w:cs="Liberation Mono"/>
          <w:sz w:val="22"/>
          <w:szCs w:val="22"/>
          <w:lang w:val="it-IT"/>
        </w:rPr>
      </w:pPr>
      <w:r>
        <w:rPr>
          <w:rFonts w:eastAsia="Liberation Mono" w:cs="Liberation Mono" w:ascii="Calibri" w:hAnsi="Calibri"/>
          <w:sz w:val="22"/>
          <w:szCs w:val="22"/>
          <w:lang w:val="it-IT"/>
        </w:rPr>
      </w:r>
    </w:p>
    <w:p>
      <w:pPr>
        <w:pStyle w:val="Normal"/>
        <w:spacing w:lineRule="exact" w:line="283"/>
        <w:rPr/>
      </w:pPr>
      <w:r>
        <w:rPr/>
      </w:r>
    </w:p>
    <w:p>
      <w:pPr>
        <w:pStyle w:val="Testopreformattato"/>
        <w:pBdr/>
        <w:bidi w:val="0"/>
        <w:spacing w:lineRule="exact" w:line="283" w:before="0" w:after="0"/>
        <w:ind w:left="0" w:right="0" w:hanging="0"/>
        <w:jc w:val="both"/>
        <w:rPr>
          <w:rFonts w:ascii="Calibri" w:hAnsi="Calibri"/>
          <w:sz w:val="22"/>
          <w:szCs w:val="22"/>
          <w:lang w:val="it-IT"/>
        </w:rPr>
      </w:pPr>
      <w:bookmarkStart w:id="2" w:name="tw-target-text4"/>
      <w:bookmarkEnd w:id="2"/>
      <w:r>
        <w:rPr>
          <w:rFonts w:ascii="Calibri" w:hAnsi="Calibri"/>
          <w:sz w:val="22"/>
          <w:szCs w:val="22"/>
          <w:lang w:val="it-IT"/>
        </w:rPr>
        <w:t xml:space="preserve">Tuttavia, in Europa, il </w:t>
      </w:r>
      <w:r>
        <w:rPr>
          <w:rFonts w:ascii="Calibri" w:hAnsi="Calibri"/>
          <w:i/>
          <w:iCs/>
          <w:sz w:val="22"/>
          <w:szCs w:val="22"/>
          <w:lang w:val="it-IT"/>
        </w:rPr>
        <w:t>B</w:t>
      </w:r>
      <w:r>
        <w:rPr>
          <w:rFonts w:ascii="Calibri" w:hAnsi="Calibri"/>
          <w:i/>
          <w:iCs/>
          <w:sz w:val="22"/>
          <w:szCs w:val="22"/>
          <w:lang w:val="it-IT"/>
        </w:rPr>
        <w:t>elzutifan</w:t>
      </w:r>
      <w:r>
        <w:rPr>
          <w:rFonts w:ascii="Calibri" w:hAnsi="Calibri"/>
          <w:sz w:val="22"/>
          <w:szCs w:val="22"/>
          <w:lang w:val="it-IT"/>
        </w:rPr>
        <w:t xml:space="preserve"> è disponibile solo nel contesto di una sperimentazione clinica, </w:t>
      </w:r>
      <w:r>
        <w:rPr>
          <w:rFonts w:ascii="Calibri" w:hAnsi="Calibri"/>
          <w:sz w:val="22"/>
          <w:szCs w:val="22"/>
          <w:lang w:val="it-IT"/>
        </w:rPr>
        <w:t>per lo più destinata a pazienti</w:t>
      </w:r>
      <w:r>
        <w:rPr>
          <w:rFonts w:ascii="Calibri" w:hAnsi="Calibri"/>
          <w:sz w:val="22"/>
          <w:szCs w:val="22"/>
          <w:lang w:val="it-IT"/>
        </w:rPr>
        <w:t xml:space="preserve"> con carcinoma renale metastatico, </w:t>
      </w:r>
      <w:r>
        <w:rPr>
          <w:rFonts w:ascii="Calibri" w:hAnsi="Calibri"/>
          <w:sz w:val="22"/>
          <w:szCs w:val="22"/>
          <w:lang w:val="it-IT"/>
        </w:rPr>
        <w:t>non necessariamente pazienti VHL</w:t>
      </w:r>
      <w:r>
        <w:rPr>
          <w:rFonts w:ascii="Calibri" w:hAnsi="Calibri"/>
          <w:sz w:val="22"/>
          <w:szCs w:val="22"/>
          <w:lang w:val="it-IT"/>
        </w:rPr>
        <w:t xml:space="preserve">. Ci sono circa 12.500 pazienti affetti da VHL nei 27 paesi dell'UE. L'EMA non ha nemmeno avviato il processo di approvazione del </w:t>
      </w:r>
      <w:r>
        <w:rPr>
          <w:rFonts w:ascii="Calibri" w:hAnsi="Calibri"/>
          <w:i/>
          <w:iCs/>
          <w:sz w:val="22"/>
          <w:szCs w:val="22"/>
          <w:lang w:val="it-IT"/>
        </w:rPr>
        <w:t>B</w:t>
      </w:r>
      <w:r>
        <w:rPr>
          <w:rFonts w:ascii="Calibri" w:hAnsi="Calibri"/>
          <w:i/>
          <w:iCs/>
          <w:sz w:val="22"/>
          <w:szCs w:val="22"/>
          <w:lang w:val="it-IT"/>
        </w:rPr>
        <w:t>elzutifan</w:t>
      </w:r>
      <w:r>
        <w:rPr>
          <w:rFonts w:ascii="Calibri" w:hAnsi="Calibri"/>
          <w:sz w:val="22"/>
          <w:szCs w:val="22"/>
          <w:lang w:val="it-IT"/>
        </w:rPr>
        <w:t xml:space="preserve">, nonostante il suo uso diffuso negli Stati Uniti da quasi un anno e mezzo. Nel frattempo, i pazienti europei VHL muoiono per tumori cerebrali inoperabili, diventano inutilmente diabetici di tipo 1, diventano pazienti in dialisi perché il tessuto renale rimanente ha un nuovo tumore, diventano irreversibilmente ciechi o sordi e, anche nei migliori scenari, </w:t>
      </w:r>
      <w:r>
        <w:rPr>
          <w:rFonts w:ascii="Calibri" w:hAnsi="Calibri"/>
          <w:sz w:val="22"/>
          <w:szCs w:val="22"/>
          <w:lang w:val="it-IT"/>
        </w:rPr>
        <w:t xml:space="preserve">sono </w:t>
      </w:r>
      <w:r>
        <w:rPr>
          <w:rFonts w:ascii="Calibri" w:hAnsi="Calibri"/>
          <w:sz w:val="22"/>
          <w:szCs w:val="22"/>
          <w:lang w:val="it-IT"/>
        </w:rPr>
        <w:t xml:space="preserve">sottoposti a interventi chirurgici non necessari. L'impatto psicosociale è enorme, sconvolge vite e lavoro, </w:t>
      </w:r>
      <w:r>
        <w:rPr>
          <w:rFonts w:ascii="Calibri" w:hAnsi="Calibri"/>
          <w:sz w:val="22"/>
          <w:szCs w:val="22"/>
          <w:lang w:val="it-IT"/>
        </w:rPr>
        <w:t>a maggior ragione essendo informati dal web che altri pazienti VHL</w:t>
      </w:r>
      <w:r>
        <w:rPr>
          <w:rFonts w:ascii="Calibri" w:hAnsi="Calibri"/>
          <w:sz w:val="22"/>
          <w:szCs w:val="22"/>
          <w:lang w:val="it-IT"/>
        </w:rPr>
        <w:t xml:space="preserve"> negli Stati Uniti, e presto nel Regno Unito, hanno accesso a un trattamento che non è disponibile per i pazienti europei. Con enormi costi personali, diversi pazienti si stanno trasferendo negli Stati Uniti, o cercano cure lì, per accedere al </w:t>
      </w:r>
      <w:r>
        <w:rPr>
          <w:rFonts w:ascii="Calibri" w:hAnsi="Calibri"/>
          <w:i/>
          <w:iCs/>
          <w:sz w:val="22"/>
          <w:szCs w:val="22"/>
          <w:lang w:val="it-IT"/>
        </w:rPr>
        <w:t>B</w:t>
      </w:r>
      <w:r>
        <w:rPr>
          <w:rFonts w:ascii="Calibri" w:hAnsi="Calibri"/>
          <w:i/>
          <w:iCs/>
          <w:sz w:val="22"/>
          <w:szCs w:val="22"/>
          <w:lang w:val="it-IT"/>
        </w:rPr>
        <w:t>elzutifan</w:t>
      </w:r>
      <w:r>
        <w:rPr>
          <w:rFonts w:ascii="Calibri" w:hAnsi="Calibri"/>
          <w:sz w:val="22"/>
          <w:szCs w:val="22"/>
          <w:lang w:val="it-IT"/>
        </w:rPr>
        <w:t>.</w:t>
      </w:r>
    </w:p>
    <w:p>
      <w:pPr>
        <w:pStyle w:val="Testopreformattato"/>
        <w:pBdr/>
        <w:bidi w:val="0"/>
        <w:spacing w:lineRule="exact" w:line="283" w:before="0" w:after="0"/>
        <w:ind w:left="0" w:right="0" w:hanging="0"/>
        <w:jc w:val="both"/>
        <w:rPr/>
      </w:pPr>
      <w:r>
        <w:rPr/>
      </w:r>
    </w:p>
    <w:p>
      <w:pPr>
        <w:pStyle w:val="Testopreformattato"/>
        <w:pBdr/>
        <w:bidi w:val="0"/>
        <w:spacing w:lineRule="exact" w:line="283" w:before="0" w:after="0"/>
        <w:ind w:left="0" w:right="0" w:hanging="0"/>
        <w:jc w:val="both"/>
        <w:rPr>
          <w:rFonts w:ascii="Calibri" w:hAnsi="Calibri"/>
          <w:sz w:val="22"/>
          <w:szCs w:val="22"/>
        </w:rPr>
      </w:pPr>
      <w:bookmarkStart w:id="3" w:name="tw-target-text"/>
      <w:bookmarkEnd w:id="3"/>
      <w:r>
        <w:rPr>
          <w:rFonts w:ascii="Calibri" w:hAnsi="Calibri"/>
          <w:b w:val="false"/>
          <w:i w:val="false"/>
          <w:caps w:val="false"/>
          <w:smallCaps w:val="false"/>
          <w:color w:val="202124"/>
          <w:spacing w:val="0"/>
          <w:sz w:val="22"/>
          <w:szCs w:val="22"/>
          <w:lang w:val="it-IT"/>
        </w:rPr>
        <w:t xml:space="preserve">Chiediamo all'EMA un'azione immediata e la considerazione del </w:t>
      </w:r>
      <w:r>
        <w:rPr>
          <w:rFonts w:ascii="Calibri" w:hAnsi="Calibri"/>
          <w:b w:val="false"/>
          <w:i/>
          <w:iCs/>
          <w:caps w:val="false"/>
          <w:smallCaps w:val="false"/>
          <w:color w:val="202124"/>
          <w:spacing w:val="0"/>
          <w:sz w:val="22"/>
          <w:szCs w:val="22"/>
          <w:lang w:val="it-IT"/>
        </w:rPr>
        <w:t>B</w:t>
      </w:r>
      <w:r>
        <w:rPr>
          <w:rFonts w:ascii="Calibri" w:hAnsi="Calibri"/>
          <w:b w:val="false"/>
          <w:i/>
          <w:iCs/>
          <w:caps w:val="false"/>
          <w:smallCaps w:val="false"/>
          <w:color w:val="202124"/>
          <w:spacing w:val="0"/>
          <w:sz w:val="22"/>
          <w:szCs w:val="22"/>
          <w:lang w:val="it-IT"/>
        </w:rPr>
        <w:t>elzutifan</w:t>
      </w:r>
      <w:r>
        <w:rPr>
          <w:rFonts w:ascii="Calibri" w:hAnsi="Calibri"/>
          <w:b w:val="false"/>
          <w:i w:val="false"/>
          <w:caps w:val="false"/>
          <w:smallCaps w:val="false"/>
          <w:color w:val="202124"/>
          <w:spacing w:val="0"/>
          <w:sz w:val="22"/>
          <w:szCs w:val="22"/>
          <w:lang w:val="it-IT"/>
        </w:rPr>
        <w:t xml:space="preserve"> per i pazienti con VHL. Questa discrepanza di accesso tra USA e UE è inaccettabile. Non ci sono seri problemi di sicurezza  </w:t>
      </w:r>
      <w:r>
        <w:rPr>
          <w:rFonts w:ascii="Calibri" w:hAnsi="Calibri"/>
          <w:b w:val="false"/>
          <w:i w:val="false"/>
          <w:caps w:val="false"/>
          <w:smallCaps w:val="false"/>
          <w:color w:val="202124"/>
          <w:spacing w:val="0"/>
          <w:sz w:val="22"/>
          <w:szCs w:val="22"/>
          <w:lang w:val="it-IT"/>
        </w:rPr>
        <w:t xml:space="preserve">per la salute </w:t>
      </w:r>
      <w:r>
        <w:rPr>
          <w:rFonts w:ascii="Calibri" w:hAnsi="Calibri"/>
          <w:b w:val="false"/>
          <w:i w:val="false"/>
          <w:caps w:val="false"/>
          <w:smallCaps w:val="false"/>
          <w:color w:val="202124"/>
          <w:spacing w:val="0"/>
          <w:sz w:val="22"/>
          <w:szCs w:val="22"/>
          <w:lang w:val="it-IT"/>
        </w:rPr>
        <w:t xml:space="preserve">e nessun paziente è deceduto a causa degli effetti correlati al trattamento. </w:t>
      </w:r>
      <w:r>
        <w:rPr>
          <w:rFonts w:ascii="Calibri" w:hAnsi="Calibri"/>
          <w:b w:val="false"/>
          <w:i w:val="false"/>
          <w:caps w:val="false"/>
          <w:smallCaps w:val="false"/>
          <w:color w:val="202124"/>
          <w:spacing w:val="0"/>
          <w:sz w:val="22"/>
          <w:szCs w:val="22"/>
          <w:lang w:val="it-IT"/>
        </w:rPr>
        <w:t>I</w:t>
      </w:r>
      <w:r>
        <w:rPr>
          <w:rFonts w:eastAsia="Liberation Mono" w:cs="Liberation Mono" w:ascii="Calibri" w:hAnsi="Calibri"/>
          <w:b w:val="false"/>
          <w:i w:val="false"/>
          <w:caps w:val="false"/>
          <w:smallCaps w:val="false"/>
          <w:color w:val="202124"/>
          <w:spacing w:val="0"/>
          <w:sz w:val="22"/>
          <w:szCs w:val="22"/>
          <w:lang w:val="it-IT"/>
        </w:rPr>
        <w:t>nvece</w:t>
      </w:r>
      <w:r>
        <w:rPr>
          <w:rFonts w:ascii="Calibri" w:hAnsi="Calibri"/>
          <w:b w:val="false"/>
          <w:i w:val="false"/>
          <w:caps w:val="false"/>
          <w:smallCaps w:val="false"/>
          <w:color w:val="202124"/>
          <w:spacing w:val="0"/>
          <w:sz w:val="22"/>
          <w:szCs w:val="22"/>
          <w:lang w:val="it-IT"/>
        </w:rPr>
        <w:t>, i pazienti stanno morendo per mancanza di azione da parte dell'EMA.</w:t>
      </w:r>
    </w:p>
    <w:p>
      <w:pPr>
        <w:pStyle w:val="Testopreformattato"/>
        <w:pBdr/>
        <w:bidi w:val="0"/>
        <w:spacing w:lineRule="exact" w:line="283" w:before="0" w:after="0"/>
        <w:ind w:left="0" w:right="0" w:hanging="0"/>
        <w:jc w:val="both"/>
        <w:rPr>
          <w:b w:val="false"/>
          <w:i w:val="false"/>
          <w:caps w:val="false"/>
          <w:smallCaps w:val="false"/>
          <w:color w:val="202124"/>
          <w:spacing w:val="0"/>
          <w:lang w:val="it-IT"/>
        </w:rPr>
      </w:pPr>
      <w:r>
        <w:rPr>
          <w:rFonts w:ascii="Calibri" w:hAnsi="Calibri"/>
          <w:sz w:val="22"/>
          <w:szCs w:val="22"/>
        </w:rPr>
      </w:r>
    </w:p>
    <w:p>
      <w:pPr>
        <w:pStyle w:val="Testopreformattato"/>
        <w:pBdr/>
        <w:bidi w:val="0"/>
        <w:spacing w:lineRule="exact" w:line="283" w:before="0" w:after="0"/>
        <w:ind w:left="0" w:right="0" w:hanging="0"/>
        <w:jc w:val="both"/>
        <w:rPr>
          <w:rFonts w:ascii="Calibri" w:hAnsi="Calibri"/>
          <w:b w:val="false"/>
          <w:i w:val="false"/>
          <w:caps w:val="false"/>
          <w:smallCaps w:val="false"/>
          <w:color w:val="202124"/>
          <w:spacing w:val="0"/>
          <w:sz w:val="22"/>
          <w:szCs w:val="22"/>
          <w:lang w:val="it-IT"/>
        </w:rPr>
      </w:pPr>
      <w:bookmarkStart w:id="4" w:name="tw-target-text1"/>
      <w:bookmarkEnd w:id="4"/>
      <w:r>
        <w:rPr>
          <w:rFonts w:ascii="Calibri" w:hAnsi="Calibri"/>
          <w:b w:val="false"/>
          <w:i w:val="false"/>
          <w:caps w:val="false"/>
          <w:smallCaps w:val="false"/>
          <w:color w:val="202124"/>
          <w:spacing w:val="0"/>
          <w:sz w:val="22"/>
          <w:szCs w:val="22"/>
          <w:lang w:val="it-IT"/>
        </w:rPr>
        <w:t xml:space="preserve">Ci auguriamo sinceramente che l'EMA prenda </w:t>
      </w:r>
      <w:r>
        <w:rPr>
          <w:rFonts w:ascii="Calibri" w:hAnsi="Calibri"/>
          <w:b w:val="false"/>
          <w:i w:val="false"/>
          <w:caps w:val="false"/>
          <w:smallCaps w:val="false"/>
          <w:color w:val="202124"/>
          <w:spacing w:val="0"/>
          <w:sz w:val="22"/>
          <w:szCs w:val="22"/>
          <w:lang w:val="it-IT"/>
        </w:rPr>
        <w:t xml:space="preserve">presto </w:t>
      </w:r>
      <w:r>
        <w:rPr>
          <w:rFonts w:ascii="Calibri" w:hAnsi="Calibri"/>
          <w:b w:val="false"/>
          <w:i w:val="false"/>
          <w:caps w:val="false"/>
          <w:smallCaps w:val="false"/>
          <w:color w:val="202124"/>
          <w:spacing w:val="0"/>
          <w:sz w:val="22"/>
          <w:szCs w:val="22"/>
          <w:lang w:val="it-IT"/>
        </w:rPr>
        <w:t xml:space="preserve">in considerazione il </w:t>
      </w:r>
      <w:r>
        <w:rPr>
          <w:rFonts w:ascii="Calibri" w:hAnsi="Calibri"/>
          <w:b w:val="false"/>
          <w:i/>
          <w:iCs/>
          <w:caps w:val="false"/>
          <w:smallCaps w:val="false"/>
          <w:color w:val="202124"/>
          <w:spacing w:val="0"/>
          <w:sz w:val="22"/>
          <w:szCs w:val="22"/>
          <w:lang w:val="it-IT"/>
        </w:rPr>
        <w:t>B</w:t>
      </w:r>
      <w:r>
        <w:rPr>
          <w:rFonts w:ascii="Calibri" w:hAnsi="Calibri"/>
          <w:b w:val="false"/>
          <w:i/>
          <w:iCs/>
          <w:caps w:val="false"/>
          <w:smallCaps w:val="false"/>
          <w:color w:val="202124"/>
          <w:spacing w:val="0"/>
          <w:sz w:val="22"/>
          <w:szCs w:val="22"/>
          <w:lang w:val="it-IT"/>
        </w:rPr>
        <w:t>elzutifan</w:t>
      </w:r>
      <w:r>
        <w:rPr>
          <w:rFonts w:ascii="Calibri" w:hAnsi="Calibri"/>
          <w:b w:val="false"/>
          <w:i w:val="false"/>
          <w:caps w:val="false"/>
          <w:smallCaps w:val="false"/>
          <w:color w:val="202124"/>
          <w:spacing w:val="0"/>
          <w:sz w:val="22"/>
          <w:szCs w:val="22"/>
          <w:lang w:val="it-IT"/>
        </w:rPr>
        <w:t xml:space="preserve"> per i pazienti con VHL.</w:t>
      </w:r>
    </w:p>
    <w:p>
      <w:pPr>
        <w:pStyle w:val="Testopreformattato"/>
        <w:pBdr/>
        <w:bidi w:val="0"/>
        <w:spacing w:lineRule="exact" w:line="283" w:before="0" w:after="0"/>
        <w:ind w:left="0" w:right="0" w:hanging="0"/>
        <w:jc w:val="both"/>
        <w:rPr>
          <w:rFonts w:ascii="Calibri" w:hAnsi="Calibri"/>
          <w:b w:val="false"/>
          <w:i w:val="false"/>
          <w:caps w:val="false"/>
          <w:smallCaps w:val="false"/>
          <w:color w:val="202124"/>
          <w:spacing w:val="0"/>
          <w:sz w:val="22"/>
          <w:szCs w:val="22"/>
          <w:lang w:val="it-IT"/>
        </w:rPr>
      </w:pPr>
      <w:r>
        <w:rPr>
          <w:rFonts w:ascii="Calibri" w:hAnsi="Calibri"/>
          <w:b w:val="false"/>
          <w:i w:val="false"/>
          <w:caps w:val="false"/>
          <w:smallCaps w:val="false"/>
          <w:color w:val="202124"/>
          <w:spacing w:val="0"/>
          <w:sz w:val="22"/>
          <w:szCs w:val="22"/>
          <w:lang w:val="it-IT"/>
        </w:rPr>
      </w:r>
    </w:p>
    <w:p>
      <w:pPr>
        <w:pStyle w:val="Testopreformattato"/>
        <w:pBdr/>
        <w:bidi w:val="0"/>
        <w:spacing w:lineRule="exact" w:line="283" w:before="0" w:after="0"/>
        <w:jc w:val="both"/>
        <w:rPr>
          <w:rFonts w:ascii="Calibri" w:hAnsi="Calibri"/>
          <w:b w:val="false"/>
          <w:i w:val="false"/>
          <w:caps w:val="false"/>
          <w:smallCaps w:val="false"/>
          <w:color w:val="202124"/>
          <w:spacing w:val="0"/>
          <w:sz w:val="22"/>
          <w:szCs w:val="22"/>
          <w:lang w:val="it-IT"/>
        </w:rPr>
      </w:pPr>
      <w:r>
        <w:rPr>
          <w:rFonts w:ascii="Calibri" w:hAnsi="Calibri"/>
          <w:b w:val="false"/>
          <w:i w:val="false"/>
          <w:caps w:val="false"/>
          <w:smallCaps w:val="false"/>
          <w:color w:val="202124"/>
          <w:spacing w:val="0"/>
          <w:sz w:val="22"/>
          <w:szCs w:val="22"/>
          <w:lang w:val="it-IT"/>
        </w:rPr>
        <w:t>Cordiali saluti,</w:t>
      </w:r>
    </w:p>
    <w:p>
      <w:pPr>
        <w:pStyle w:val="Corpodeltesto"/>
        <w:spacing w:lineRule="exact" w:line="283"/>
        <w:rPr/>
      </w:pPr>
      <w:r>
        <w:rPr/>
        <w:br/>
      </w:r>
    </w:p>
    <w:p>
      <w:pPr>
        <w:pStyle w:val="Normal"/>
        <w:spacing w:lineRule="exact" w:line="283"/>
        <w:rPr>
          <w:b/>
          <w:b/>
          <w:bCs/>
          <w:i/>
          <w:i/>
          <w:iCs/>
        </w:rPr>
      </w:pPr>
      <w:r>
        <w:rPr>
          <w:b/>
          <w:bCs/>
          <w:i/>
          <w:iCs/>
        </w:rPr>
        <w:t>[N</w:t>
      </w:r>
      <w:r>
        <w:rPr>
          <w:b/>
          <w:bCs/>
          <w:i/>
          <w:iCs/>
        </w:rPr>
        <w:t>OME</w:t>
      </w:r>
      <w:r>
        <w:rPr>
          <w:b/>
          <w:bCs/>
          <w:i/>
          <w:iCs/>
        </w:rPr>
        <w:t>]</w:t>
      </w:r>
    </w:p>
    <w:p>
      <w:pPr>
        <w:pStyle w:val="Normal"/>
        <w:spacing w:lineRule="exact" w:line="283"/>
        <w:rPr>
          <w:b/>
          <w:b/>
          <w:bCs/>
          <w:i/>
          <w:i/>
          <w:iCs/>
        </w:rPr>
      </w:pPr>
      <w:r>
        <w:rPr>
          <w:b/>
          <w:bCs/>
          <w:i/>
          <w:iCs/>
        </w:rPr>
        <w:t>[C</w:t>
      </w:r>
      <w:r>
        <w:rPr>
          <w:b/>
          <w:bCs/>
          <w:i/>
          <w:iCs/>
        </w:rPr>
        <w:t>ittà, Stato</w:t>
      </w:r>
      <w:r>
        <w:rPr>
          <w:b/>
          <w:bCs/>
          <w:i/>
          <w:iCs/>
        </w:rPr>
        <w:t>]</w:t>
      </w:r>
    </w:p>
    <w:p>
      <w:pPr>
        <w:pStyle w:val="Normal"/>
        <w:spacing w:lineRule="exact" w:line="283"/>
        <w:rPr>
          <w:b/>
          <w:b/>
          <w:bCs/>
          <w:i/>
          <w:i/>
          <w:iCs/>
        </w:rPr>
      </w:pPr>
      <w:r>
        <w:rPr/>
      </w:r>
    </w:p>
    <w:p>
      <w:pPr>
        <w:pStyle w:val="Normal"/>
        <w:spacing w:lineRule="exact" w:line="283"/>
        <w:rPr/>
      </w:pPr>
      <w:r>
        <w:rPr/>
        <w:t>R</w:t>
      </w:r>
      <w:r>
        <w:rPr/>
        <w:t>iferimenti</w:t>
      </w:r>
      <w:r>
        <w:rPr/>
        <w:t xml:space="preserve">: </w:t>
      </w:r>
    </w:p>
    <w:p>
      <w:pPr>
        <w:pStyle w:val="ListParagraph"/>
        <w:numPr>
          <w:ilvl w:val="0"/>
          <w:numId w:val="1"/>
        </w:numPr>
        <w:spacing w:lineRule="exact" w:line="283"/>
        <w:rPr/>
      </w:pPr>
      <w:hyperlink r:id="rId2">
        <w:r>
          <w:rPr>
            <w:rStyle w:val="CollegamentoInternet"/>
          </w:rPr>
          <w:t xml:space="preserve">Choueiri TK, et al. Inhibition of hypoxia-inducible factor-2α in renal cell carcinoma with belzutifan: a phase 1 trial and biomarker analysis. Nat Med. 2021 May;27(5):802-805. </w:t>
        </w:r>
      </w:hyperlink>
    </w:p>
    <w:p>
      <w:pPr>
        <w:pStyle w:val="ListParagraph"/>
        <w:numPr>
          <w:ilvl w:val="0"/>
          <w:numId w:val="1"/>
        </w:numPr>
        <w:spacing w:lineRule="exact" w:line="283"/>
        <w:rPr/>
      </w:pPr>
      <w:hyperlink r:id="rId3">
        <w:r>
          <w:rPr>
            <w:rStyle w:val="CollegamentoInternet"/>
          </w:rPr>
          <w:t xml:space="preserve">Jonasch E, et al. Belzutifan for Renal Cell Carcinoma in von Hippel-Lindau Disease. N Engl J Med. 2021 Nov 25;385(22):2036-2046. </w:t>
        </w:r>
      </w:hyperlink>
    </w:p>
    <w:p>
      <w:pPr>
        <w:pStyle w:val="ListParagraph"/>
        <w:numPr>
          <w:ilvl w:val="0"/>
          <w:numId w:val="1"/>
        </w:numPr>
        <w:spacing w:lineRule="exact" w:line="283" w:before="0" w:after="160"/>
        <w:contextualSpacing/>
        <w:rPr>
          <w:b/>
          <w:b/>
          <w:bCs/>
        </w:rPr>
      </w:pPr>
      <w:hyperlink r:id="rId4">
        <w:r>
          <w:rPr>
            <w:rStyle w:val="CollegamentoInternet"/>
          </w:rPr>
          <w:t xml:space="preserve">Jonasch E, et al. LITESPARK-004 (MK-6482-004) phase 2 study of belzutifan, an oral hypoxia-inducible factor 2α inhibitor (HIF-2α), for von Hippel-Lindau (VHL) disease: Update with more than two years of follow-up data. Reported at the American Society of Clinical Oncology meeting, June 2022, Chicago, IL, USA. </w:t>
        </w:r>
      </w:hyperlink>
      <w:r>
        <w:rPr/>
        <w:t xml:space="preserve"> </w:t>
      </w:r>
    </w:p>
    <w:sectPr>
      <w:type w:val="nextPage"/>
      <w:pgSz w:w="12240" w:h="15840"/>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 w:name="Liberation Mono">
    <w:altName w:val="Courier New"/>
    <w:charset w:val="01"/>
    <w:family w:val="modern"/>
    <w:pitch w:val="fixed"/>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Titolo1">
    <w:name w:val="Heading 1"/>
    <w:basedOn w:val="Normal"/>
    <w:next w:val="Normal"/>
    <w:link w:val="Kop1Char"/>
    <w:uiPriority w:val="9"/>
    <w:qFormat/>
    <w:rsid w:val="00f946e8"/>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3d5675"/>
    <w:rPr>
      <w:color w:val="0563C1" w:themeColor="hyperlink"/>
      <w:u w:val="single"/>
    </w:rPr>
  </w:style>
  <w:style w:type="character" w:styleId="UnresolvedMention">
    <w:name w:val="Unresolved Mention"/>
    <w:basedOn w:val="DefaultParagraphFont"/>
    <w:uiPriority w:val="99"/>
    <w:semiHidden/>
    <w:unhideWhenUsed/>
    <w:qFormat/>
    <w:rsid w:val="003d5675"/>
    <w:rPr>
      <w:color w:val="605E5C"/>
      <w:shd w:fill="E1DFDD" w:val="clear"/>
    </w:rPr>
  </w:style>
  <w:style w:type="character" w:styleId="CollegamentoInternetvisitato">
    <w:name w:val="Collegamento Internet visitato"/>
    <w:basedOn w:val="DefaultParagraphFont"/>
    <w:uiPriority w:val="99"/>
    <w:semiHidden/>
    <w:unhideWhenUsed/>
    <w:rsid w:val="009c0bbd"/>
    <w:rPr>
      <w:color w:val="954F72" w:themeColor="followedHyperlink"/>
      <w:u w:val="single"/>
    </w:rPr>
  </w:style>
  <w:style w:type="character" w:styleId="Kop1Char" w:customStyle="1">
    <w:name w:val="Kop 1 Char"/>
    <w:basedOn w:val="DefaultParagraphFont"/>
    <w:link w:val="Kop1"/>
    <w:uiPriority w:val="9"/>
    <w:qFormat/>
    <w:rsid w:val="00f946e8"/>
    <w:rPr>
      <w:rFonts w:ascii="Calibri Light" w:hAnsi="Calibri Light" w:eastAsia="" w:cs="" w:asciiTheme="majorHAnsi" w:cstheme="majorBidi" w:eastAsiaTheme="majorEastAsia" w:hAnsiTheme="majorHAnsi"/>
      <w:color w:val="2F5496" w:themeColor="accent1" w:themeShade="bf"/>
      <w:sz w:val="32"/>
      <w:szCs w:val="32"/>
    </w:rPr>
  </w:style>
  <w:style w:type="paragraph" w:styleId="Titolo">
    <w:name w:val="Titolo"/>
    <w:basedOn w:val="Normal"/>
    <w:next w:val="Corpodeltesto"/>
    <w:qFormat/>
    <w:pPr>
      <w:keepNext w:val="true"/>
      <w:spacing w:before="240" w:after="120"/>
    </w:pPr>
    <w:rPr>
      <w:rFonts w:ascii="Liberation Sans" w:hAnsi="Liberation Sans" w:eastAsia="PingFang SC" w:cs="Arial Unicode M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ListParagraph">
    <w:name w:val="List Paragraph"/>
    <w:basedOn w:val="Normal"/>
    <w:uiPriority w:val="34"/>
    <w:qFormat/>
    <w:rsid w:val="003d5675"/>
    <w:pPr>
      <w:spacing w:before="0" w:after="160"/>
      <w:ind w:left="720" w:hanging="0"/>
      <w:contextualSpacing/>
    </w:pPr>
    <w:rPr/>
  </w:style>
  <w:style w:type="paragraph" w:styleId="Testopreformattato">
    <w:name w:val="Testo preformattato"/>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nature.com/articles/s41591-021-01324-7" TargetMode="External"/><Relationship Id="rId3" Type="http://schemas.openxmlformats.org/officeDocument/2006/relationships/hyperlink" Target="https://www.nejm.org/doi/10.1056/NEJMoa2103425" TargetMode="External"/><Relationship Id="rId4" Type="http://schemas.openxmlformats.org/officeDocument/2006/relationships/hyperlink" Target="../Library/Containers/com.apple.mail/Data/Library/Mail%20Downloads/71B060CE-4B8D-46D2-98CA-A158553D9765/1.%09https:/ascopubs.org/doi/abs/10.1200/JCO.2022.40.16_suppl.4546"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862</TotalTime>
  <Application>LibreOffice/6.4.2.2$MacOSX_X86_64 LibreOffice_project/4e471d8c02c9c90f512f7f9ead8875b57fcb1ec3</Application>
  <Pages>2</Pages>
  <Words>755</Words>
  <Characters>4319</Characters>
  <CharactersWithSpaces>5071</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2022-12-16T22:49:00Z</dcterms:created>
  <dc:creator>Rachel Giles</dc:creator>
  <dc:description/>
  <dc:language>it-IT</dc:language>
  <cp:lastModifiedBy/>
  <dcterms:modified xsi:type="dcterms:W3CDTF">2023-01-27T16:12:18Z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